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4A" w:rsidRDefault="0083724A" w:rsidP="0083724A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83724A" w:rsidRDefault="0083724A" w:rsidP="008372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24A" w:rsidRPr="00D14784" w:rsidRDefault="0083724A" w:rsidP="00837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24A" w:rsidRPr="00D14784" w:rsidRDefault="0083724A" w:rsidP="00D14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784">
        <w:rPr>
          <w:rFonts w:ascii="Times New Roman" w:hAnsi="Times New Roman" w:cs="Times New Roman"/>
          <w:b/>
          <w:sz w:val="28"/>
          <w:szCs w:val="28"/>
        </w:rPr>
        <w:t xml:space="preserve">Бюджетный прогноз Калужской области </w:t>
      </w:r>
      <w:proofErr w:type="gramStart"/>
      <w:r w:rsidRPr="00D14784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83724A" w:rsidRPr="00D14784" w:rsidRDefault="0083724A" w:rsidP="00D14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784">
        <w:rPr>
          <w:rFonts w:ascii="Times New Roman" w:hAnsi="Times New Roman" w:cs="Times New Roman"/>
          <w:b/>
          <w:sz w:val="28"/>
          <w:szCs w:val="28"/>
        </w:rPr>
        <w:t>долгосрочный период</w:t>
      </w:r>
    </w:p>
    <w:p w:rsidR="0083724A" w:rsidRPr="00D14784" w:rsidRDefault="0083724A" w:rsidP="00D14784">
      <w:pPr>
        <w:spacing w:after="12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14784" w:rsidRPr="00D14784" w:rsidRDefault="00D14784" w:rsidP="00D14784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4784">
        <w:rPr>
          <w:rFonts w:ascii="Times New Roman" w:hAnsi="Times New Roman" w:cs="Times New Roman"/>
          <w:b/>
          <w:sz w:val="26"/>
          <w:szCs w:val="26"/>
        </w:rPr>
        <w:t>I.</w:t>
      </w:r>
      <w:r w:rsidRPr="00D14784">
        <w:rPr>
          <w:rFonts w:ascii="Times New Roman" w:hAnsi="Times New Roman" w:cs="Times New Roman"/>
          <w:b/>
          <w:sz w:val="26"/>
          <w:szCs w:val="26"/>
        </w:rPr>
        <w:tab/>
        <w:t>Основные подходы к формированию бюджетной политики Калужской области на долгосрочный период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 xml:space="preserve">Бюджетный прогноз Калужской области на долгосрочный период                      (далее – Долгосрочный прогноз) разработан в соответствии с нормами Бюджетного кодекса Российской Федерации и постановлением Правительства Калужской области от 28.08.2015 № 493 «О Порядке разработки и утверждения бюджетного прогноза Калужской области на долгосрочный период» и охватывает двенадцатилетний </w:t>
      </w:r>
      <w:proofErr w:type="gramStart"/>
      <w:r w:rsidRPr="00D14784">
        <w:rPr>
          <w:rFonts w:ascii="Times New Roman" w:hAnsi="Times New Roman" w:cs="Times New Roman"/>
          <w:sz w:val="26"/>
          <w:szCs w:val="26"/>
        </w:rPr>
        <w:t>период</w:t>
      </w:r>
      <w:proofErr w:type="gramEnd"/>
      <w:r w:rsidRPr="00D14784">
        <w:rPr>
          <w:rFonts w:ascii="Times New Roman" w:hAnsi="Times New Roman" w:cs="Times New Roman"/>
          <w:sz w:val="26"/>
          <w:szCs w:val="26"/>
        </w:rPr>
        <w:t xml:space="preserve"> начиная с 2017 года.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 xml:space="preserve">Базовой целью долгосрочного бюджетного планирования является обеспечение предсказуемости развития областного и консолидированного бюджетов Калужской области, что позволяет оценивать долгосрочные тенденции изменений объема и структуры доходов и расходов бюджетов, структуры и условий привлечения и обслуживания заимствований, межбюджетного регулирования, а также выработать на их основе соответствующие меры, направленные на повышение эффективности функционирования бюджетной системы, ее роли в стимулировании социально-экономического развития </w:t>
      </w:r>
      <w:r w:rsidR="00934AE8">
        <w:rPr>
          <w:rFonts w:ascii="Times New Roman" w:hAnsi="Times New Roman" w:cs="Times New Roman"/>
          <w:sz w:val="26"/>
          <w:szCs w:val="26"/>
        </w:rPr>
        <w:t xml:space="preserve">Калужской </w:t>
      </w:r>
      <w:r w:rsidRPr="00D14784">
        <w:rPr>
          <w:rFonts w:ascii="Times New Roman" w:hAnsi="Times New Roman" w:cs="Times New Roman"/>
          <w:sz w:val="26"/>
          <w:szCs w:val="26"/>
        </w:rPr>
        <w:t xml:space="preserve">области и решении стратегических задач. 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Достижение указанной цели может быть обеспечено при наличии эффективной и сбалансированной экономики, а также эффективной деятельности органов исполнительной власти Калужской области, что требует обоснованной оценки ресурсного потенциала области.</w:t>
      </w:r>
    </w:p>
    <w:p w:rsidR="00D14784" w:rsidRPr="00D14784" w:rsidRDefault="00D14784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 xml:space="preserve">Текущая ситуация с исполнением консолидированного бюджета Калужской области характеризуется следующими данными. </w:t>
      </w:r>
    </w:p>
    <w:p w:rsidR="00D14784" w:rsidRPr="00D14784" w:rsidRDefault="00C4216B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D14784" w:rsidRPr="00D14784">
        <w:rPr>
          <w:rFonts w:ascii="Times New Roman" w:hAnsi="Times New Roman" w:cs="Times New Roman"/>
          <w:sz w:val="26"/>
          <w:szCs w:val="26"/>
        </w:rPr>
        <w:t xml:space="preserve"> 2016 год</w:t>
      </w:r>
      <w:r>
        <w:rPr>
          <w:rFonts w:ascii="Times New Roman" w:hAnsi="Times New Roman" w:cs="Times New Roman"/>
          <w:sz w:val="26"/>
          <w:szCs w:val="26"/>
        </w:rPr>
        <w:t>у</w:t>
      </w:r>
      <w:r w:rsidR="00D14784" w:rsidRPr="00D14784">
        <w:rPr>
          <w:rFonts w:ascii="Times New Roman" w:hAnsi="Times New Roman" w:cs="Times New Roman"/>
          <w:sz w:val="26"/>
          <w:szCs w:val="26"/>
        </w:rPr>
        <w:t xml:space="preserve"> в консолидированный бюджет Калужской области поступило доходов </w:t>
      </w:r>
      <w:r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D14784" w:rsidRPr="00D14784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> </w:t>
      </w:r>
      <w:r w:rsidR="00D14784" w:rsidRPr="00D14784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35,4</w:t>
      </w:r>
      <w:r w:rsidR="00D14784" w:rsidRPr="00D14784">
        <w:rPr>
          <w:rFonts w:ascii="Times New Roman" w:hAnsi="Times New Roman" w:cs="Times New Roman"/>
          <w:sz w:val="26"/>
          <w:szCs w:val="26"/>
        </w:rPr>
        <w:t xml:space="preserve"> млн. рублей, что на 5</w:t>
      </w:r>
      <w:r>
        <w:rPr>
          <w:rFonts w:ascii="Times New Roman" w:hAnsi="Times New Roman" w:cs="Times New Roman"/>
          <w:sz w:val="26"/>
          <w:szCs w:val="26"/>
        </w:rPr>
        <w:t> </w:t>
      </w:r>
      <w:r w:rsidR="00D14784" w:rsidRPr="00D14784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72,5</w:t>
      </w:r>
      <w:r w:rsidR="00D14784" w:rsidRPr="00D14784">
        <w:rPr>
          <w:rFonts w:ascii="Times New Roman" w:hAnsi="Times New Roman" w:cs="Times New Roman"/>
          <w:sz w:val="26"/>
          <w:szCs w:val="26"/>
        </w:rPr>
        <w:t xml:space="preserve"> млн. рублей больше по сравнению с 2015 годом. Темп роста составил 110,</w:t>
      </w:r>
      <w:r>
        <w:rPr>
          <w:rFonts w:ascii="Times New Roman" w:hAnsi="Times New Roman" w:cs="Times New Roman"/>
          <w:sz w:val="26"/>
          <w:szCs w:val="26"/>
        </w:rPr>
        <w:t>9</w:t>
      </w:r>
      <w:r w:rsidR="00D14784" w:rsidRPr="00D14784">
        <w:rPr>
          <w:rFonts w:ascii="Times New Roman" w:hAnsi="Times New Roman" w:cs="Times New Roman"/>
          <w:sz w:val="26"/>
          <w:szCs w:val="26"/>
        </w:rPr>
        <w:t xml:space="preserve"> %. В том числе налоговых и неналоговых доходов поступило 48 289,3 млн. рублей, что на 2 157,9 млн. рублей, или на 4,7 %, превысило поступление за 2015 год.</w:t>
      </w:r>
    </w:p>
    <w:p w:rsidR="00D14784" w:rsidRPr="00D14784" w:rsidRDefault="00D14784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 xml:space="preserve">Исполнение консолидированного бюджета </w:t>
      </w:r>
      <w:r w:rsidR="00C4216B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Pr="00D14784">
        <w:rPr>
          <w:rFonts w:ascii="Times New Roman" w:hAnsi="Times New Roman" w:cs="Times New Roman"/>
          <w:sz w:val="26"/>
          <w:szCs w:val="26"/>
        </w:rPr>
        <w:t>по расходам за 2016 год составило 62 9</w:t>
      </w:r>
      <w:r w:rsidR="00C4216B">
        <w:rPr>
          <w:rFonts w:ascii="Times New Roman" w:hAnsi="Times New Roman" w:cs="Times New Roman"/>
          <w:sz w:val="26"/>
          <w:szCs w:val="26"/>
        </w:rPr>
        <w:t xml:space="preserve">66,4 млн. рублей, или </w:t>
      </w:r>
      <w:r w:rsidRPr="00D14784">
        <w:rPr>
          <w:rFonts w:ascii="Times New Roman" w:hAnsi="Times New Roman" w:cs="Times New Roman"/>
          <w:sz w:val="26"/>
          <w:szCs w:val="26"/>
        </w:rPr>
        <w:t>с ростом к 2015 году на 6</w:t>
      </w:r>
      <w:r w:rsidR="00C4216B">
        <w:rPr>
          <w:rFonts w:ascii="Times New Roman" w:hAnsi="Times New Roman" w:cs="Times New Roman"/>
          <w:sz w:val="26"/>
          <w:szCs w:val="26"/>
        </w:rPr>
        <w:t>86,7</w:t>
      </w:r>
      <w:r w:rsidRPr="00D14784">
        <w:rPr>
          <w:rFonts w:ascii="Times New Roman" w:hAnsi="Times New Roman" w:cs="Times New Roman"/>
          <w:sz w:val="26"/>
          <w:szCs w:val="26"/>
        </w:rPr>
        <w:t xml:space="preserve"> млн. рублей. Темп роста составил 101,1 %. Дефицит бюджета составил 2 031,0 млн. рублей, на финансирование которого в основном направлены бюджетные кредиты, полученные из бюджетов других уровней.</w:t>
      </w:r>
    </w:p>
    <w:p w:rsidR="00D14784" w:rsidRPr="00D14784" w:rsidRDefault="00D14784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Исполнение доходов областного бюджета за 2016 год составило 48 3</w:t>
      </w:r>
      <w:r w:rsidR="00281E3D">
        <w:rPr>
          <w:rFonts w:ascii="Times New Roman" w:hAnsi="Times New Roman" w:cs="Times New Roman"/>
          <w:sz w:val="26"/>
          <w:szCs w:val="26"/>
        </w:rPr>
        <w:t>68</w:t>
      </w:r>
      <w:r w:rsidRPr="00D14784">
        <w:rPr>
          <w:rFonts w:ascii="Times New Roman" w:hAnsi="Times New Roman" w:cs="Times New Roman"/>
          <w:sz w:val="26"/>
          <w:szCs w:val="26"/>
        </w:rPr>
        <w:t>,5 млн. рублей, темп роста к 2015 году составил 109,3 %. В том числе поступление налоговых и неналоговых доходов составило 35 789,9 млн. рублей, что на 1 935,4 млн. рублей, или на 5,7 %, выше уровня 2015 года.</w:t>
      </w:r>
    </w:p>
    <w:p w:rsidR="00D14784" w:rsidRPr="00D14784" w:rsidRDefault="00D14784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lastRenderedPageBreak/>
        <w:t>Исполнение расходов областного бюджета за 2016 год составило 50 5</w:t>
      </w:r>
      <w:r w:rsidR="00281E3D">
        <w:rPr>
          <w:rFonts w:ascii="Times New Roman" w:hAnsi="Times New Roman" w:cs="Times New Roman"/>
          <w:sz w:val="26"/>
          <w:szCs w:val="26"/>
        </w:rPr>
        <w:t>56</w:t>
      </w:r>
      <w:r w:rsidRPr="00D14784">
        <w:rPr>
          <w:rFonts w:ascii="Times New Roman" w:hAnsi="Times New Roman" w:cs="Times New Roman"/>
          <w:sz w:val="26"/>
          <w:szCs w:val="26"/>
        </w:rPr>
        <w:t>,6 млн. рублей, темп роста к 2015 году – 106,4 %. Дефицит бюджета составил 2 188,1 млн. рублей, на финансирование которого в основном направлены бюджетные кредиты, полученные из бюджетов других уровней.</w:t>
      </w:r>
    </w:p>
    <w:p w:rsidR="00D14784" w:rsidRPr="00D14784" w:rsidRDefault="00D14784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В основу формирования Долгосрочного прогноза положены:</w:t>
      </w:r>
    </w:p>
    <w:p w:rsidR="00D14784" w:rsidRPr="00D14784" w:rsidRDefault="00D14784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– отдельные показатели прогноза социально-экономического развития Калужской области на период до 2030 года, актуализированные на основании среднесрочного прогноза развития Калужской области на 201</w:t>
      </w:r>
      <w:r w:rsidR="00281E3D">
        <w:rPr>
          <w:rFonts w:ascii="Times New Roman" w:hAnsi="Times New Roman" w:cs="Times New Roman"/>
          <w:sz w:val="26"/>
          <w:szCs w:val="26"/>
        </w:rPr>
        <w:t>8</w:t>
      </w:r>
      <w:r w:rsidRPr="00D14784">
        <w:rPr>
          <w:rFonts w:ascii="Times New Roman" w:hAnsi="Times New Roman" w:cs="Times New Roman"/>
          <w:sz w:val="26"/>
          <w:szCs w:val="26"/>
        </w:rPr>
        <w:t xml:space="preserve"> год и на плановый период 201</w:t>
      </w:r>
      <w:r w:rsidR="00281E3D">
        <w:rPr>
          <w:rFonts w:ascii="Times New Roman" w:hAnsi="Times New Roman" w:cs="Times New Roman"/>
          <w:sz w:val="26"/>
          <w:szCs w:val="26"/>
        </w:rPr>
        <w:t>9</w:t>
      </w:r>
      <w:r w:rsidRPr="00D14784">
        <w:rPr>
          <w:rFonts w:ascii="Times New Roman" w:hAnsi="Times New Roman" w:cs="Times New Roman"/>
          <w:sz w:val="26"/>
          <w:szCs w:val="26"/>
        </w:rPr>
        <w:t xml:space="preserve"> и 20</w:t>
      </w:r>
      <w:r w:rsidR="00281E3D">
        <w:rPr>
          <w:rFonts w:ascii="Times New Roman" w:hAnsi="Times New Roman" w:cs="Times New Roman"/>
          <w:sz w:val="26"/>
          <w:szCs w:val="26"/>
        </w:rPr>
        <w:t>20</w:t>
      </w:r>
      <w:r w:rsidRPr="00D14784">
        <w:rPr>
          <w:rFonts w:ascii="Times New Roman" w:hAnsi="Times New Roman" w:cs="Times New Roman"/>
          <w:sz w:val="26"/>
          <w:szCs w:val="26"/>
        </w:rPr>
        <w:t xml:space="preserve"> годов;</w:t>
      </w:r>
    </w:p>
    <w:p w:rsidR="00D14784" w:rsidRPr="00D14784" w:rsidRDefault="00D14784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– динамика поступлений в областной бюджет налоговых и неналоговых платежей, сборов;</w:t>
      </w:r>
    </w:p>
    <w:p w:rsidR="00D14784" w:rsidRPr="00D14784" w:rsidRDefault="00D14784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– данные, предоставляемые администраторами доходов бюджета о начисленных и планируемых к поступлению налоговых и неналоговых платежах, сборах.</w:t>
      </w:r>
    </w:p>
    <w:p w:rsidR="00D14784" w:rsidRPr="00D14784" w:rsidRDefault="00D14784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Формирование Долгосрочного прогноза обеспечивается в условиях действующего бюджетного законодательства и законодательства о налогах и сборах, а также с учетом вносимых в плановом периоде изменений и дополнений в налоговое и бюджетное законодательство.</w:t>
      </w:r>
    </w:p>
    <w:p w:rsidR="00D14784" w:rsidRPr="00D14784" w:rsidRDefault="00D14784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Основными направлениями работы на долгосрочный период должны стать мероприятия, обеспечивающие бюджетную устойчивость и общую макроэкономическую стабильность.</w:t>
      </w:r>
    </w:p>
    <w:p w:rsidR="00D14784" w:rsidRPr="00D14784" w:rsidRDefault="00D14784" w:rsidP="00D1478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14784">
        <w:rPr>
          <w:rFonts w:ascii="Times New Roman" w:hAnsi="Times New Roman" w:cs="Times New Roman"/>
          <w:sz w:val="26"/>
          <w:szCs w:val="26"/>
        </w:rPr>
        <w:t>В целом долгосрочная бюджетная политика по формированию доходов бюджета основана на учете особенностей конкретных доходов, принадлежности того или иного налога к федеральному или региональному, степени стабильности соответствующих поступлений и их зависимости от влияния среднесрочных факторов, значимости отдельных доходов (их доли в общем объеме доходов).</w:t>
      </w:r>
      <w:proofErr w:type="gramEnd"/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При формировании и реализации бюджетной политики на долгосрочный период необходимо исходить из решения следующих основных задач: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– обеспечение долгосрочной сбалансированности и устойчивости бюджетной системы Калужской области как базового принципа ответственной бюджетной политики;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– укрепление доходной базы консолидированного бюджета Калужской области за счет наращивания стабильных доходных источников и мобилизации в бюджет имеющихся резервов;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 xml:space="preserve">– повышение эффективности бюджетных расходов, формирование бюджетных параметров исходя из четкой </w:t>
      </w:r>
      <w:proofErr w:type="spellStart"/>
      <w:r w:rsidRPr="00D14784">
        <w:rPr>
          <w:rFonts w:ascii="Times New Roman" w:hAnsi="Times New Roman" w:cs="Times New Roman"/>
          <w:sz w:val="26"/>
          <w:szCs w:val="26"/>
        </w:rPr>
        <w:t>приоритизации</w:t>
      </w:r>
      <w:proofErr w:type="spellEnd"/>
      <w:r w:rsidRPr="00D14784">
        <w:rPr>
          <w:rFonts w:ascii="Times New Roman" w:hAnsi="Times New Roman" w:cs="Times New Roman"/>
          <w:sz w:val="26"/>
          <w:szCs w:val="26"/>
        </w:rPr>
        <w:t xml:space="preserve"> и необходимости безусловного исполнения действующих расходных обязательств, в том числе с учетом их оптимизации и повышения эффективности использования финансовых ресурсов, осуществление взвешенного подхода к принятию новых расходных обязательств и сокращение неэффективных бюджетных расходов;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 xml:space="preserve">– проведение взвешенной долговой политики Калужской области, направленной на сдерживание роста государственного и муниципального долга Калужской области за счет последовательного сокращения дефицита областного и местных бюджетов, планирование и осуществление государственных </w:t>
      </w:r>
      <w:r w:rsidRPr="00D14784">
        <w:rPr>
          <w:rFonts w:ascii="Times New Roman" w:hAnsi="Times New Roman" w:cs="Times New Roman"/>
          <w:sz w:val="26"/>
          <w:szCs w:val="26"/>
        </w:rPr>
        <w:lastRenderedPageBreak/>
        <w:t>заимствований исходя из необходимости безусловного исполнения расходных и долговых обязательств Калужской области, минимизацию расходов на обслуживание долговых обязательств Калужской области;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– повышение эффективности оказания государственных и муниципальных услуг, в том числе путем оптимизации структуры бюджетной сети;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– повышение эффективности системы государственного (муниципального) финансового контроля, контроля в сфере закупок, внутреннего финансового контроля и внутреннего финансового аудита с целью  сокращения нарушений законодательства о контрактной системе и повышения эффективности (результативности и экономности) бюджетных расходов;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14784">
        <w:rPr>
          <w:rFonts w:ascii="Times New Roman" w:hAnsi="Times New Roman" w:cs="Times New Roman"/>
          <w:sz w:val="26"/>
          <w:szCs w:val="26"/>
        </w:rPr>
        <w:t>– обеспечение открытости и прозрачности управления общественными финансами, в том числе за счет публикации «Бюджета для граждан» к проекту закона и закону Калужской области об областном бюджете</w:t>
      </w:r>
      <w:r w:rsidR="00281E3D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</w:t>
      </w:r>
      <w:r w:rsidRPr="00D14784">
        <w:rPr>
          <w:rFonts w:ascii="Times New Roman" w:hAnsi="Times New Roman" w:cs="Times New Roman"/>
          <w:sz w:val="26"/>
          <w:szCs w:val="26"/>
        </w:rPr>
        <w:t xml:space="preserve">, а также к закону </w:t>
      </w:r>
      <w:r w:rsidR="00281E3D">
        <w:rPr>
          <w:rFonts w:ascii="Times New Roman" w:hAnsi="Times New Roman" w:cs="Times New Roman"/>
          <w:sz w:val="26"/>
          <w:szCs w:val="26"/>
        </w:rPr>
        <w:t xml:space="preserve">Калужской области </w:t>
      </w:r>
      <w:r w:rsidRPr="00D14784">
        <w:rPr>
          <w:rFonts w:ascii="Times New Roman" w:hAnsi="Times New Roman" w:cs="Times New Roman"/>
          <w:sz w:val="26"/>
          <w:szCs w:val="26"/>
        </w:rPr>
        <w:t>об исполнении областного бюджета</w:t>
      </w:r>
      <w:r w:rsidR="00281E3D">
        <w:rPr>
          <w:rFonts w:ascii="Times New Roman" w:hAnsi="Times New Roman" w:cs="Times New Roman"/>
          <w:sz w:val="26"/>
          <w:szCs w:val="26"/>
        </w:rPr>
        <w:t xml:space="preserve"> за отчетный финансовый год</w:t>
      </w:r>
      <w:r w:rsidRPr="00D14784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– повышение эффективности финансовых взаимоотношений с местными бюджетами, в том числе с учетом прямого вовлечения населения в решение приоритетных социальных проблем местного уровня, повышение самостоятельности местных бюджетов, поддержание сбалансированности, качественное управление общественными финансами и создание комфортной среды проживания на территории Калужской области.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Бюджетная система крайне восприимчива к изменениям экономической ситуации. При формировании бюджетного прогноза необходимо в полной мере учитывать прогнозируемые риски развития экономики и предусматривать адекватные меры по минимизации их неблагоприятного влияния на финансовые показатели региона и в конечном счете на качество жизни населения Калужской области.</w:t>
      </w:r>
    </w:p>
    <w:p w:rsidR="00D14784" w:rsidRPr="00D14784" w:rsidRDefault="00B8790E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</w:t>
      </w:r>
      <w:r w:rsidR="00D14784" w:rsidRPr="00D14784">
        <w:rPr>
          <w:rFonts w:ascii="Times New Roman" w:hAnsi="Times New Roman" w:cs="Times New Roman"/>
          <w:sz w:val="26"/>
          <w:szCs w:val="26"/>
        </w:rPr>
        <w:t>услови</w:t>
      </w:r>
      <w:r>
        <w:rPr>
          <w:rFonts w:ascii="Times New Roman" w:hAnsi="Times New Roman" w:cs="Times New Roman"/>
          <w:sz w:val="26"/>
          <w:szCs w:val="26"/>
        </w:rPr>
        <w:t>и изменения</w:t>
      </w:r>
      <w:r w:rsidR="00D14784" w:rsidRPr="00D14784">
        <w:rPr>
          <w:rFonts w:ascii="Times New Roman" w:hAnsi="Times New Roman" w:cs="Times New Roman"/>
          <w:sz w:val="26"/>
          <w:szCs w:val="26"/>
        </w:rPr>
        <w:t xml:space="preserve"> экономической </w:t>
      </w:r>
      <w:r>
        <w:rPr>
          <w:rFonts w:ascii="Times New Roman" w:hAnsi="Times New Roman" w:cs="Times New Roman"/>
          <w:sz w:val="26"/>
          <w:szCs w:val="26"/>
        </w:rPr>
        <w:t>ситуации</w:t>
      </w:r>
      <w:r w:rsidR="00D14784" w:rsidRPr="00D14784">
        <w:rPr>
          <w:rFonts w:ascii="Times New Roman" w:hAnsi="Times New Roman" w:cs="Times New Roman"/>
          <w:sz w:val="26"/>
          <w:szCs w:val="26"/>
        </w:rPr>
        <w:t xml:space="preserve"> наиболее негативными последствиями и рисками для бюджетной системы Калужской области являются: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1) превышение прогнозируемого уровня инфляции;</w:t>
      </w:r>
    </w:p>
    <w:p w:rsidR="00D14784" w:rsidRPr="00D14784" w:rsidRDefault="00281E3D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784" w:rsidRPr="00D14784">
        <w:rPr>
          <w:rFonts w:ascii="Times New Roman" w:hAnsi="Times New Roman" w:cs="Times New Roman"/>
          <w:sz w:val="26"/>
          <w:szCs w:val="26"/>
        </w:rPr>
        <w:t>) ухудшение условий для заимствований;</w:t>
      </w:r>
    </w:p>
    <w:p w:rsidR="00D14784" w:rsidRPr="00D14784" w:rsidRDefault="00281E3D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784" w:rsidRPr="00D14784">
        <w:rPr>
          <w:rFonts w:ascii="Times New Roman" w:hAnsi="Times New Roman" w:cs="Times New Roman"/>
          <w:sz w:val="26"/>
          <w:szCs w:val="26"/>
        </w:rPr>
        <w:t>) сокращение межбюджетных трансфертов из федерального бюджета;</w:t>
      </w:r>
    </w:p>
    <w:p w:rsidR="00D14784" w:rsidRPr="00D14784" w:rsidRDefault="00281E3D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14784" w:rsidRPr="00D14784">
        <w:rPr>
          <w:rFonts w:ascii="Times New Roman" w:hAnsi="Times New Roman" w:cs="Times New Roman"/>
          <w:sz w:val="26"/>
          <w:szCs w:val="26"/>
        </w:rPr>
        <w:t>) передача дополнительных расходных обязательств.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Мероприятия по  минимизации бюджетных  рисков: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1) повышение доходного потенциала Калужской области;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2) максимальное наполнение доходной части областного и местных бюджетов для осуществления социально значимых расходов (на здравоохранение, образование, социальную поддержку населения Калужской области);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3) поддержание экономически безопасного уровня государственного долга Калужской области;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4) поддержание минимально возможной стоимости обслуживания долговых обязательств Калужской области с учетом ситуации на финансовом рынке;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lastRenderedPageBreak/>
        <w:t>5) активное участие в привлечении средств федерального бюджета, в том числе в рамках государственных программ Российской Федерации.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В долгосрочном периоде необходимо продолжать работу по повышению качества управления государственными и муниципальными финансами Калужской области и эффективности использования бюджетных средств.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>Ситуация в экономике существенно повлияла на поступление налоговых доходов в областной бюджет от крупных налогоплательщиков. Вместе с тем прогноз поступления доходов в областной бюджет на период до 2028 года составлен исходя из ожидаемого постепенного восстановления экономики.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 xml:space="preserve">Одним из факторов, влияющих на рост доходов областного бюджета, является окончание льготного режима налогообложения по предприятиям-инвесторам, окончание льготного периода налогообложения по налогу на имущество организаций и по налогу на прибыль организаций по предприятиям, осуществляющим программы модернизации производства. 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784">
        <w:rPr>
          <w:rFonts w:ascii="Times New Roman" w:hAnsi="Times New Roman" w:cs="Times New Roman"/>
          <w:sz w:val="26"/>
          <w:szCs w:val="26"/>
        </w:rPr>
        <w:t xml:space="preserve">Ожидается, что рост налоговых доходов будет обеспечен за счет увеличения поступления налога на доходы физических лиц в связи с ростом фонда заработной платы, налога на прибыль, налога на имущество организаций, акцизов на алкогольную продукцию. </w:t>
      </w:r>
    </w:p>
    <w:p w:rsidR="00D14784" w:rsidRPr="00D14784" w:rsidRDefault="00D14784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90E">
        <w:rPr>
          <w:rFonts w:ascii="Times New Roman" w:hAnsi="Times New Roman" w:cs="Times New Roman"/>
          <w:sz w:val="26"/>
          <w:szCs w:val="26"/>
        </w:rPr>
        <w:t xml:space="preserve">При этом </w:t>
      </w:r>
      <w:r w:rsidR="00B8790E" w:rsidRPr="00B8790E">
        <w:rPr>
          <w:rFonts w:ascii="Times New Roman" w:hAnsi="Times New Roman" w:cs="Times New Roman"/>
          <w:sz w:val="26"/>
          <w:szCs w:val="26"/>
        </w:rPr>
        <w:t xml:space="preserve">долговая политика Калужской области определена с учетом </w:t>
      </w:r>
      <w:r w:rsidR="00B8790E" w:rsidRPr="00B8790E">
        <w:rPr>
          <w:rFonts w:ascii="Times New Roman" w:hAnsi="Times New Roman" w:cs="Times New Roman"/>
          <w:sz w:val="26"/>
          <w:szCs w:val="26"/>
        </w:rPr>
        <w:t>планируемого на федеральном уровне проведения реструктуризации бюджетных кредитов, предоставленных в 2015-2017 годах бюджетам субъектов Российской Федерации</w:t>
      </w:r>
      <w:r w:rsidR="00B8790E">
        <w:rPr>
          <w:rFonts w:ascii="Times New Roman" w:hAnsi="Times New Roman" w:cs="Times New Roman"/>
          <w:sz w:val="26"/>
          <w:szCs w:val="26"/>
        </w:rPr>
        <w:t xml:space="preserve"> </w:t>
      </w:r>
      <w:r w:rsidR="00B8790E" w:rsidRPr="00B8790E">
        <w:rPr>
          <w:rFonts w:ascii="Times New Roman" w:hAnsi="Times New Roman" w:cs="Times New Roman"/>
          <w:sz w:val="26"/>
          <w:szCs w:val="26"/>
        </w:rPr>
        <w:t>из федерального бюджета.</w:t>
      </w:r>
      <w:r w:rsidR="00B8790E">
        <w:rPr>
          <w:rFonts w:ascii="Times New Roman" w:hAnsi="Times New Roman" w:cs="Times New Roman"/>
          <w:sz w:val="26"/>
          <w:szCs w:val="26"/>
        </w:rPr>
        <w:t xml:space="preserve"> В этих условиях о</w:t>
      </w:r>
      <w:r w:rsidRPr="00D14784">
        <w:rPr>
          <w:rFonts w:ascii="Times New Roman" w:hAnsi="Times New Roman" w:cs="Times New Roman"/>
          <w:sz w:val="26"/>
          <w:szCs w:val="26"/>
        </w:rPr>
        <w:t xml:space="preserve">бъем государственного долга Калужской области с 1 января 2020 года не превысит </w:t>
      </w:r>
      <w:r w:rsidR="00FD6251">
        <w:rPr>
          <w:rFonts w:ascii="Times New Roman" w:hAnsi="Times New Roman" w:cs="Times New Roman"/>
          <w:sz w:val="26"/>
          <w:szCs w:val="26"/>
        </w:rPr>
        <w:t>6</w:t>
      </w:r>
      <w:r w:rsidRPr="00D14784">
        <w:rPr>
          <w:rFonts w:ascii="Times New Roman" w:hAnsi="Times New Roman" w:cs="Times New Roman"/>
          <w:sz w:val="26"/>
          <w:szCs w:val="26"/>
        </w:rPr>
        <w:t>0 % от прогнозируемого объема собственных доходов областного бюджета</w:t>
      </w:r>
      <w:r w:rsidR="00FD6251">
        <w:rPr>
          <w:rFonts w:ascii="Times New Roman" w:hAnsi="Times New Roman" w:cs="Times New Roman"/>
          <w:sz w:val="26"/>
          <w:szCs w:val="26"/>
        </w:rPr>
        <w:t xml:space="preserve">, а к 2029 году снизится до уровня </w:t>
      </w:r>
      <w:bookmarkStart w:id="0" w:name="_GoBack"/>
      <w:bookmarkEnd w:id="0"/>
      <w:r w:rsidR="00FD6251">
        <w:rPr>
          <w:rFonts w:ascii="Times New Roman" w:hAnsi="Times New Roman" w:cs="Times New Roman"/>
          <w:sz w:val="26"/>
          <w:szCs w:val="26"/>
        </w:rPr>
        <w:t>21,9 %</w:t>
      </w:r>
      <w:r w:rsidRPr="00D14784">
        <w:rPr>
          <w:rFonts w:ascii="Times New Roman" w:hAnsi="Times New Roman" w:cs="Times New Roman"/>
          <w:sz w:val="26"/>
          <w:szCs w:val="26"/>
        </w:rPr>
        <w:t>.</w:t>
      </w:r>
      <w:r w:rsidR="00B879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5D24" w:rsidRPr="00D14784" w:rsidRDefault="00B8790E" w:rsidP="00D1478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3467D0" w:rsidRPr="00D14784">
          <w:rPr>
            <w:rFonts w:ascii="Times New Roman" w:hAnsi="Times New Roman" w:cs="Times New Roman"/>
            <w:sz w:val="26"/>
            <w:szCs w:val="26"/>
          </w:rPr>
          <w:t>Прогноз</w:t>
        </w:r>
      </w:hyperlink>
      <w:r w:rsidR="003467D0" w:rsidRPr="00D14784">
        <w:rPr>
          <w:rFonts w:ascii="Times New Roman" w:hAnsi="Times New Roman" w:cs="Times New Roman"/>
          <w:sz w:val="26"/>
          <w:szCs w:val="26"/>
        </w:rPr>
        <w:t xml:space="preserve"> основных характеристик </w:t>
      </w:r>
      <w:r w:rsidR="002E627C" w:rsidRPr="00D14784">
        <w:rPr>
          <w:rFonts w:ascii="Times New Roman" w:hAnsi="Times New Roman" w:cs="Times New Roman"/>
          <w:sz w:val="26"/>
          <w:szCs w:val="26"/>
        </w:rPr>
        <w:t xml:space="preserve">областного и </w:t>
      </w:r>
      <w:r w:rsidR="003467D0" w:rsidRPr="00D14784">
        <w:rPr>
          <w:rFonts w:ascii="Times New Roman" w:hAnsi="Times New Roman" w:cs="Times New Roman"/>
          <w:sz w:val="26"/>
          <w:szCs w:val="26"/>
        </w:rPr>
        <w:t>консолидированного бюджет</w:t>
      </w:r>
      <w:r w:rsidR="002E627C" w:rsidRPr="00D14784">
        <w:rPr>
          <w:rFonts w:ascii="Times New Roman" w:hAnsi="Times New Roman" w:cs="Times New Roman"/>
          <w:sz w:val="26"/>
          <w:szCs w:val="26"/>
        </w:rPr>
        <w:t>ов</w:t>
      </w:r>
      <w:r w:rsidR="003467D0" w:rsidRPr="00D14784">
        <w:rPr>
          <w:rFonts w:ascii="Times New Roman" w:hAnsi="Times New Roman" w:cs="Times New Roman"/>
          <w:sz w:val="26"/>
          <w:szCs w:val="26"/>
        </w:rPr>
        <w:t xml:space="preserve"> </w:t>
      </w:r>
      <w:r w:rsidR="002E627C" w:rsidRPr="00D14784">
        <w:rPr>
          <w:rFonts w:ascii="Times New Roman" w:hAnsi="Times New Roman" w:cs="Times New Roman"/>
          <w:sz w:val="26"/>
          <w:szCs w:val="26"/>
        </w:rPr>
        <w:t>Калужской</w:t>
      </w:r>
      <w:r w:rsidR="003467D0" w:rsidRPr="00D14784">
        <w:rPr>
          <w:rFonts w:ascii="Times New Roman" w:hAnsi="Times New Roman" w:cs="Times New Roman"/>
          <w:sz w:val="26"/>
          <w:szCs w:val="26"/>
        </w:rPr>
        <w:t xml:space="preserve"> области</w:t>
      </w:r>
      <w:r w:rsidR="00011E83" w:rsidRPr="00D14784">
        <w:rPr>
          <w:rFonts w:ascii="Times New Roman" w:hAnsi="Times New Roman" w:cs="Times New Roman"/>
          <w:sz w:val="26"/>
          <w:szCs w:val="26"/>
        </w:rPr>
        <w:t xml:space="preserve"> и иных показателей, характеризующих областной бюджет, </w:t>
      </w:r>
      <w:r w:rsidR="002E627C" w:rsidRPr="00D14784">
        <w:rPr>
          <w:rFonts w:ascii="Times New Roman" w:hAnsi="Times New Roman" w:cs="Times New Roman"/>
          <w:sz w:val="26"/>
          <w:szCs w:val="26"/>
        </w:rPr>
        <w:t>на долгосрочный период</w:t>
      </w:r>
      <w:r w:rsidR="003467D0" w:rsidRPr="00D14784">
        <w:rPr>
          <w:rFonts w:ascii="Times New Roman" w:hAnsi="Times New Roman" w:cs="Times New Roman"/>
          <w:sz w:val="26"/>
          <w:szCs w:val="26"/>
        </w:rPr>
        <w:t xml:space="preserve"> представлен в </w:t>
      </w:r>
      <w:r w:rsidR="00011E83" w:rsidRPr="00D14784">
        <w:rPr>
          <w:rFonts w:ascii="Times New Roman" w:hAnsi="Times New Roman" w:cs="Times New Roman"/>
          <w:sz w:val="26"/>
          <w:szCs w:val="26"/>
        </w:rPr>
        <w:t>разделах II-V</w:t>
      </w:r>
      <w:r w:rsidR="003467D0" w:rsidRPr="00D14784">
        <w:rPr>
          <w:rFonts w:ascii="Times New Roman" w:hAnsi="Times New Roman" w:cs="Times New Roman"/>
          <w:sz w:val="26"/>
          <w:szCs w:val="26"/>
        </w:rPr>
        <w:t xml:space="preserve"> </w:t>
      </w:r>
      <w:r w:rsidR="002E627C" w:rsidRPr="00D14784">
        <w:rPr>
          <w:rFonts w:ascii="Times New Roman" w:hAnsi="Times New Roman" w:cs="Times New Roman"/>
          <w:sz w:val="26"/>
          <w:szCs w:val="26"/>
        </w:rPr>
        <w:t>Долгосрочно</w:t>
      </w:r>
      <w:r w:rsidR="00011E83" w:rsidRPr="00D14784">
        <w:rPr>
          <w:rFonts w:ascii="Times New Roman" w:hAnsi="Times New Roman" w:cs="Times New Roman"/>
          <w:sz w:val="26"/>
          <w:szCs w:val="26"/>
        </w:rPr>
        <w:t>го</w:t>
      </w:r>
      <w:r w:rsidR="003467D0" w:rsidRPr="00D14784">
        <w:rPr>
          <w:rFonts w:ascii="Times New Roman" w:hAnsi="Times New Roman" w:cs="Times New Roman"/>
          <w:sz w:val="26"/>
          <w:szCs w:val="26"/>
        </w:rPr>
        <w:t xml:space="preserve"> прогноз</w:t>
      </w:r>
      <w:r w:rsidR="00011E83" w:rsidRPr="00D14784">
        <w:rPr>
          <w:rFonts w:ascii="Times New Roman" w:hAnsi="Times New Roman" w:cs="Times New Roman"/>
          <w:sz w:val="26"/>
          <w:szCs w:val="26"/>
        </w:rPr>
        <w:t>а</w:t>
      </w:r>
      <w:r w:rsidR="003467D0" w:rsidRPr="00D14784">
        <w:rPr>
          <w:rFonts w:ascii="Times New Roman" w:hAnsi="Times New Roman" w:cs="Times New Roman"/>
          <w:sz w:val="26"/>
          <w:szCs w:val="26"/>
        </w:rPr>
        <w:t>.</w:t>
      </w:r>
    </w:p>
    <w:sectPr w:rsidR="00695D24" w:rsidRPr="00D14784" w:rsidSect="00B8790E">
      <w:headerReference w:type="default" r:id="rId8"/>
      <w:pgSz w:w="11906" w:h="16838"/>
      <w:pgMar w:top="851" w:right="850" w:bottom="993" w:left="1701" w:header="708" w:footer="708" w:gutter="0"/>
      <w:pgNumType w:start="7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221" w:rsidRDefault="00195221" w:rsidP="00195221">
      <w:pPr>
        <w:spacing w:after="0" w:line="240" w:lineRule="auto"/>
      </w:pPr>
      <w:r>
        <w:separator/>
      </w:r>
    </w:p>
  </w:endnote>
  <w:endnote w:type="continuationSeparator" w:id="0">
    <w:p w:rsidR="00195221" w:rsidRDefault="00195221" w:rsidP="00195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221" w:rsidRDefault="00195221" w:rsidP="00195221">
      <w:pPr>
        <w:spacing w:after="0" w:line="240" w:lineRule="auto"/>
      </w:pPr>
      <w:r>
        <w:separator/>
      </w:r>
    </w:p>
  </w:footnote>
  <w:footnote w:type="continuationSeparator" w:id="0">
    <w:p w:rsidR="00195221" w:rsidRDefault="00195221" w:rsidP="00195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040208317"/>
      <w:docPartObj>
        <w:docPartGallery w:val="Page Numbers (Top of Page)"/>
        <w:docPartUnique/>
      </w:docPartObj>
    </w:sdtPr>
    <w:sdtEndPr/>
    <w:sdtContent>
      <w:p w:rsidR="00195221" w:rsidRPr="00195221" w:rsidRDefault="00195221">
        <w:pPr>
          <w:pStyle w:val="a3"/>
          <w:jc w:val="right"/>
          <w:rPr>
            <w:rFonts w:ascii="Times New Roman" w:hAnsi="Times New Roman" w:cs="Times New Roman"/>
          </w:rPr>
        </w:pPr>
        <w:r w:rsidRPr="00195221">
          <w:rPr>
            <w:rFonts w:ascii="Times New Roman" w:hAnsi="Times New Roman" w:cs="Times New Roman"/>
          </w:rPr>
          <w:fldChar w:fldCharType="begin"/>
        </w:r>
        <w:r w:rsidRPr="00195221">
          <w:rPr>
            <w:rFonts w:ascii="Times New Roman" w:hAnsi="Times New Roman" w:cs="Times New Roman"/>
          </w:rPr>
          <w:instrText>PAGE   \* MERGEFORMAT</w:instrText>
        </w:r>
        <w:r w:rsidRPr="00195221">
          <w:rPr>
            <w:rFonts w:ascii="Times New Roman" w:hAnsi="Times New Roman" w:cs="Times New Roman"/>
          </w:rPr>
          <w:fldChar w:fldCharType="separate"/>
        </w:r>
        <w:r w:rsidR="00B8790E">
          <w:rPr>
            <w:rFonts w:ascii="Times New Roman" w:hAnsi="Times New Roman" w:cs="Times New Roman"/>
            <w:noProof/>
          </w:rPr>
          <w:t>750</w:t>
        </w:r>
        <w:r w:rsidRPr="00195221">
          <w:rPr>
            <w:rFonts w:ascii="Times New Roman" w:hAnsi="Times New Roman" w:cs="Times New Roman"/>
          </w:rPr>
          <w:fldChar w:fldCharType="end"/>
        </w:r>
      </w:p>
    </w:sdtContent>
  </w:sdt>
  <w:p w:rsidR="00195221" w:rsidRDefault="001952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24A"/>
    <w:rsid w:val="00011E83"/>
    <w:rsid w:val="000D3B86"/>
    <w:rsid w:val="000E52CD"/>
    <w:rsid w:val="001269A0"/>
    <w:rsid w:val="00195221"/>
    <w:rsid w:val="00281E3D"/>
    <w:rsid w:val="002C3C11"/>
    <w:rsid w:val="002E627C"/>
    <w:rsid w:val="002E75DE"/>
    <w:rsid w:val="003467D0"/>
    <w:rsid w:val="003E0442"/>
    <w:rsid w:val="00442CD4"/>
    <w:rsid w:val="00460492"/>
    <w:rsid w:val="004C5548"/>
    <w:rsid w:val="004F1D85"/>
    <w:rsid w:val="0053095B"/>
    <w:rsid w:val="005F0A68"/>
    <w:rsid w:val="00604751"/>
    <w:rsid w:val="00624569"/>
    <w:rsid w:val="00647188"/>
    <w:rsid w:val="00654A6F"/>
    <w:rsid w:val="006730CF"/>
    <w:rsid w:val="00695D24"/>
    <w:rsid w:val="00704C79"/>
    <w:rsid w:val="00721AFF"/>
    <w:rsid w:val="007C052B"/>
    <w:rsid w:val="0082271C"/>
    <w:rsid w:val="0083724A"/>
    <w:rsid w:val="00896FF4"/>
    <w:rsid w:val="008A63E1"/>
    <w:rsid w:val="008D682E"/>
    <w:rsid w:val="00934AE8"/>
    <w:rsid w:val="00B8790E"/>
    <w:rsid w:val="00BE1432"/>
    <w:rsid w:val="00C0037C"/>
    <w:rsid w:val="00C30BA5"/>
    <w:rsid w:val="00C4216B"/>
    <w:rsid w:val="00C96177"/>
    <w:rsid w:val="00D008F0"/>
    <w:rsid w:val="00D14784"/>
    <w:rsid w:val="00D20C3B"/>
    <w:rsid w:val="00D57BA6"/>
    <w:rsid w:val="00D651EF"/>
    <w:rsid w:val="00D74E5E"/>
    <w:rsid w:val="00DA351A"/>
    <w:rsid w:val="00DB145D"/>
    <w:rsid w:val="00E630A3"/>
    <w:rsid w:val="00FC546D"/>
    <w:rsid w:val="00FD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8A63E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19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221"/>
  </w:style>
  <w:style w:type="paragraph" w:styleId="a5">
    <w:name w:val="footer"/>
    <w:basedOn w:val="a"/>
    <w:link w:val="a6"/>
    <w:uiPriority w:val="99"/>
    <w:unhideWhenUsed/>
    <w:rsid w:val="0019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221"/>
  </w:style>
  <w:style w:type="paragraph" w:styleId="a7">
    <w:name w:val="Body Text Indent"/>
    <w:basedOn w:val="a"/>
    <w:link w:val="a8"/>
    <w:unhideWhenUsed/>
    <w:rsid w:val="004C5548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C55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4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8A63E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19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221"/>
  </w:style>
  <w:style w:type="paragraph" w:styleId="a5">
    <w:name w:val="footer"/>
    <w:basedOn w:val="a"/>
    <w:link w:val="a6"/>
    <w:uiPriority w:val="99"/>
    <w:unhideWhenUsed/>
    <w:rsid w:val="0019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221"/>
  </w:style>
  <w:style w:type="paragraph" w:styleId="a7">
    <w:name w:val="Body Text Indent"/>
    <w:basedOn w:val="a"/>
    <w:link w:val="a8"/>
    <w:unhideWhenUsed/>
    <w:rsid w:val="004C5548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C55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4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5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651FD5109FE7EB108A3AC8DC3494F59B422B7394C34C444D3D0130FB1D6DDB6A9B010EE3AEAF57026C2B91BAV6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Danilova MG.</dc:creator>
  <cp:lastModifiedBy>Danilova MG.</cp:lastModifiedBy>
  <cp:revision>34</cp:revision>
  <cp:lastPrinted>2016-11-09T22:55:00Z</cp:lastPrinted>
  <dcterms:created xsi:type="dcterms:W3CDTF">2016-10-21T09:42:00Z</dcterms:created>
  <dcterms:modified xsi:type="dcterms:W3CDTF">2017-10-30T15:29:00Z</dcterms:modified>
</cp:coreProperties>
</file>